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1686"/>
        <w:gridCol w:w="5636"/>
        <w:gridCol w:w="1740"/>
      </w:tblGrid>
      <w:tr w:rsidR="00BB795C" w:rsidRPr="00A06BF7" w14:paraId="287EE482" w14:textId="77777777" w:rsidTr="00683249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929008" w14:textId="77777777" w:rsidR="00BB795C" w:rsidRPr="00A06BF7" w:rsidRDefault="00BB795C" w:rsidP="00683249">
            <w:pPr>
              <w:snapToGrid w:val="0"/>
              <w:jc w:val="center"/>
              <w:rPr>
                <w:sz w:val="4"/>
                <w:szCs w:val="4"/>
              </w:rPr>
            </w:pPr>
            <w:bookmarkStart w:id="0" w:name="_GoBack"/>
            <w:bookmarkEnd w:id="0"/>
          </w:p>
          <w:p w14:paraId="50AC5E05" w14:textId="59717F41" w:rsidR="00BB795C" w:rsidRPr="00A06BF7" w:rsidRDefault="00BB795C" w:rsidP="00683249">
            <w:pPr>
              <w:jc w:val="center"/>
              <w:rPr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69AF8B79" wp14:editId="58D40931">
                  <wp:extent cx="923925" cy="90487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FBADB" w14:textId="77777777" w:rsidR="00BB795C" w:rsidRPr="00A06BF7" w:rsidRDefault="00BB795C" w:rsidP="0068324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</w:p>
          <w:p w14:paraId="45D4EC0E" w14:textId="77777777" w:rsidR="00BB795C" w:rsidRDefault="00BB795C" w:rsidP="00BB795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420"/>
            </w:tblGrid>
            <w:tr w:rsidR="00BB795C" w14:paraId="40C2D97A" w14:textId="77777777">
              <w:trPr>
                <w:trHeight w:val="399"/>
              </w:trPr>
              <w:tc>
                <w:tcPr>
                  <w:tcW w:w="0" w:type="auto"/>
                </w:tcPr>
                <w:p w14:paraId="3F66E9ED" w14:textId="722BD460" w:rsidR="00BB795C" w:rsidRDefault="00BB795C" w:rsidP="00BB795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Instrukcja nr 12 do Procedury Jakości Kształcenia</w:t>
                  </w:r>
                </w:p>
                <w:p w14:paraId="1470A6FC" w14:textId="2CBF23FC" w:rsidR="00BB795C" w:rsidRDefault="00BB795C" w:rsidP="00BB795C">
                  <w:pPr>
                    <w:spacing w:after="0" w:line="240" w:lineRule="auto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na Wydziale Technologii Drewna SGGW w Warszawie</w:t>
                  </w:r>
                </w:p>
              </w:tc>
            </w:tr>
          </w:tbl>
          <w:p w14:paraId="2670ECA6" w14:textId="0E20EC73" w:rsidR="00BB795C" w:rsidRPr="00A06BF7" w:rsidRDefault="00BB795C" w:rsidP="006832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5B05" w14:textId="77777777" w:rsidR="00BB795C" w:rsidRPr="00A06BF7" w:rsidRDefault="00BB795C" w:rsidP="00683249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2E37A9EE" w14:textId="77777777" w:rsidR="00BB795C" w:rsidRPr="00A06BF7" w:rsidRDefault="00BB795C" w:rsidP="00683249">
            <w:pPr>
              <w:jc w:val="center"/>
              <w:rPr>
                <w:rFonts w:ascii="Times New Roman" w:hAnsi="Times New Roman"/>
              </w:rPr>
            </w:pPr>
            <w:r w:rsidRPr="00A06BF7">
              <w:rPr>
                <w:rFonts w:ascii="Times New Roman" w:hAnsi="Times New Roman"/>
              </w:rPr>
              <w:t>Wersja 3.0</w:t>
            </w:r>
          </w:p>
        </w:tc>
      </w:tr>
      <w:tr w:rsidR="00BB795C" w:rsidRPr="00A06BF7" w14:paraId="13F3C348" w14:textId="77777777" w:rsidTr="00683249">
        <w:trPr>
          <w:trHeight w:val="5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1108EC" w14:textId="77777777" w:rsidR="00BB795C" w:rsidRPr="00A06BF7" w:rsidRDefault="00BB795C" w:rsidP="00683249">
            <w:pPr>
              <w:rPr>
                <w:b/>
                <w:bCs/>
                <w:color w:val="000000"/>
                <w:kern w:val="2"/>
                <w:sz w:val="4"/>
                <w:szCs w:val="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01A54" w14:textId="77777777" w:rsidR="00BB795C" w:rsidRPr="00A06BF7" w:rsidRDefault="00BB795C" w:rsidP="00683249">
            <w:pP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EE520" w14:textId="77777777" w:rsidR="00BB795C" w:rsidRPr="00A06BF7" w:rsidRDefault="00BB795C" w:rsidP="00683249">
            <w:pPr>
              <w:jc w:val="center"/>
              <w:rPr>
                <w:rFonts w:ascii="Times New Roman" w:hAnsi="Times New Roman"/>
              </w:rPr>
            </w:pPr>
            <w:r w:rsidRPr="00A06BF7">
              <w:rPr>
                <w:rFonts w:ascii="Times New Roman" w:hAnsi="Times New Roman"/>
              </w:rPr>
              <w:t>Obowiązuje od:</w:t>
            </w:r>
          </w:p>
          <w:p w14:paraId="1FB8E9F3" w14:textId="773FFC50" w:rsidR="00BB795C" w:rsidRPr="00A06BF7" w:rsidRDefault="00BB795C" w:rsidP="00683249">
            <w:pPr>
              <w:jc w:val="center"/>
              <w:rPr>
                <w:rFonts w:ascii="Times New Roman" w:hAnsi="Times New Roman"/>
              </w:rPr>
            </w:pPr>
          </w:p>
        </w:tc>
      </w:tr>
      <w:tr w:rsidR="00BB795C" w:rsidRPr="00A06BF7" w14:paraId="0DECD8A6" w14:textId="77777777" w:rsidTr="00683249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756E2" w14:textId="30DC56B8" w:rsidR="00BB795C" w:rsidRPr="00A06BF7" w:rsidRDefault="00BB795C" w:rsidP="00683249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ind w:left="397"/>
              <w:jc w:val="center"/>
              <w:rPr>
                <w:rFonts w:cs="Times New Roman"/>
              </w:rPr>
            </w:pPr>
            <w:r>
              <w:rPr>
                <w:rFonts w:cs="Times New Roman"/>
                <w:bCs w:val="0"/>
              </w:rPr>
              <w:t>Zarządzanie procesem dydaktycznym</w:t>
            </w:r>
          </w:p>
        </w:tc>
      </w:tr>
    </w:tbl>
    <w:p w14:paraId="2A92DD7B" w14:textId="6CBF7D6D" w:rsidR="00654A97" w:rsidRDefault="00F2797D"/>
    <w:p w14:paraId="093BB2D1" w14:textId="5247A4E9" w:rsidR="00BB795C" w:rsidRDefault="00BB795C"/>
    <w:p w14:paraId="4CD72B21" w14:textId="6FF2FC42" w:rsidR="00BB795C" w:rsidRPr="00BB795C" w:rsidRDefault="00BB795C" w:rsidP="00BB795C">
      <w:pPr>
        <w:pStyle w:val="Default"/>
        <w:rPr>
          <w:b/>
        </w:rPr>
      </w:pPr>
      <w:r w:rsidRPr="00BB795C">
        <w:rPr>
          <w:b/>
        </w:rPr>
        <w:t>Cel</w:t>
      </w:r>
    </w:p>
    <w:p w14:paraId="218E6633" w14:textId="507A07F7" w:rsidR="00BB795C" w:rsidRPr="00672C3C" w:rsidRDefault="00BB795C" w:rsidP="00672C3C">
      <w:pPr>
        <w:pStyle w:val="Default"/>
        <w:jc w:val="both"/>
        <w:rPr>
          <w:sz w:val="22"/>
          <w:szCs w:val="22"/>
        </w:rPr>
      </w:pPr>
      <w:r w:rsidRPr="00672C3C">
        <w:rPr>
          <w:sz w:val="22"/>
          <w:szCs w:val="22"/>
        </w:rPr>
        <w:t>Celem procedury jest opisanie zasad i działań związanych z procesem kształcenia w odniesieniu do prowadzenia zajęć dydaktycznych, odbywania praktyk, a także opracowania i monitorowania programów kształcenia i planów studiów oraz sylabusów w ramach Wewnętrznego Systemu Zapewniania i Doskonalenia Jakości Kształcenia.</w:t>
      </w:r>
    </w:p>
    <w:p w14:paraId="5D0B4170" w14:textId="13DA5004" w:rsidR="00BB795C" w:rsidRPr="00672C3C" w:rsidRDefault="00BB795C" w:rsidP="00672C3C">
      <w:pPr>
        <w:pStyle w:val="Default"/>
        <w:jc w:val="both"/>
        <w:rPr>
          <w:sz w:val="22"/>
          <w:szCs w:val="22"/>
        </w:rPr>
      </w:pPr>
    </w:p>
    <w:p w14:paraId="386AA790" w14:textId="77777777" w:rsidR="00BB795C" w:rsidRPr="00672C3C" w:rsidRDefault="00BB795C" w:rsidP="00672C3C">
      <w:pPr>
        <w:pStyle w:val="Default"/>
        <w:jc w:val="both"/>
        <w:rPr>
          <w:sz w:val="22"/>
          <w:szCs w:val="22"/>
        </w:rPr>
      </w:pPr>
      <w:r w:rsidRPr="00672C3C">
        <w:rPr>
          <w:sz w:val="22"/>
          <w:szCs w:val="22"/>
        </w:rPr>
        <w:t xml:space="preserve"> </w:t>
      </w:r>
    </w:p>
    <w:p w14:paraId="6EAB1BD9" w14:textId="77777777" w:rsidR="00BB795C" w:rsidRPr="00672C3C" w:rsidRDefault="00BB795C" w:rsidP="00672C3C">
      <w:pPr>
        <w:pStyle w:val="Default"/>
        <w:jc w:val="both"/>
        <w:rPr>
          <w:sz w:val="22"/>
          <w:szCs w:val="22"/>
        </w:rPr>
      </w:pPr>
      <w:r w:rsidRPr="00672C3C">
        <w:rPr>
          <w:b/>
          <w:bCs/>
          <w:sz w:val="22"/>
          <w:szCs w:val="22"/>
        </w:rPr>
        <w:t xml:space="preserve">Definicje </w:t>
      </w:r>
    </w:p>
    <w:p w14:paraId="393C5344" w14:textId="108DEE12" w:rsidR="00BB795C" w:rsidRPr="00672C3C" w:rsidRDefault="00BB795C" w:rsidP="00672C3C">
      <w:pPr>
        <w:pStyle w:val="Default"/>
        <w:jc w:val="both"/>
        <w:rPr>
          <w:sz w:val="22"/>
          <w:szCs w:val="22"/>
        </w:rPr>
      </w:pPr>
      <w:r w:rsidRPr="00672C3C">
        <w:rPr>
          <w:sz w:val="22"/>
          <w:szCs w:val="22"/>
        </w:rPr>
        <w:t xml:space="preserve"> - proces dydaktyczny – logiczny ciąg czynności zarówno nauczyciela akademickiego, jak i studenta prowadzący do zmian w zakresie wiedzy, umiejętności i kompetencji studenta, a przez to osiąganie przez niego założonych w programie studiów kwalifikacji</w:t>
      </w:r>
      <w:r w:rsidR="00672C3C" w:rsidRPr="00672C3C">
        <w:rPr>
          <w:sz w:val="22"/>
          <w:szCs w:val="22"/>
        </w:rPr>
        <w:t>.</w:t>
      </w:r>
    </w:p>
    <w:p w14:paraId="1F1F29F3" w14:textId="6876829A" w:rsidR="00672C3C" w:rsidRDefault="00672C3C" w:rsidP="00672C3C">
      <w:pPr>
        <w:pStyle w:val="Default"/>
        <w:jc w:val="both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- program kształcenia – opis określonych przez uczelnię spójnych efektów uczenia się, zgodny z Polskimi Ramami Kwalifikacji, oraz opis procesu kształcenia, prowadzącego do osiągnięcia tych efektów, wraz z przypisanymi do poszczególnych modułów tego procesu punktami ECTS.</w:t>
      </w:r>
    </w:p>
    <w:p w14:paraId="0999108B" w14:textId="1F303984" w:rsidR="00672C3C" w:rsidRDefault="00672C3C" w:rsidP="00672C3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punkty ECTS – punkty zdefiniowane w </w:t>
      </w:r>
      <w:r>
        <w:rPr>
          <w:i/>
          <w:iCs/>
          <w:sz w:val="22"/>
          <w:szCs w:val="22"/>
        </w:rPr>
        <w:t xml:space="preserve">Europejskim Systemie Akumulacji i Transferu Punktów Zaliczeniowych </w:t>
      </w:r>
      <w:r>
        <w:rPr>
          <w:sz w:val="22"/>
          <w:szCs w:val="22"/>
        </w:rPr>
        <w:t>jako miara średniego nakładu pracy osoby uczącej się, niezbędnego do uzyskania zakładanych efektów uczenia się.</w:t>
      </w:r>
    </w:p>
    <w:p w14:paraId="2FF2D7D2" w14:textId="6B9B4F4A" w:rsidR="00672C3C" w:rsidRPr="00672C3C" w:rsidRDefault="00672C3C" w:rsidP="00672C3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- efekty uczenia się – zasób wiedzy, umiejętności i kompetencji społecznych uzyskiwanych w procesie kształcenia w systemie studiów.</w:t>
      </w:r>
    </w:p>
    <w:p w14:paraId="5406087C" w14:textId="77777777" w:rsidR="00672C3C" w:rsidRPr="00672C3C" w:rsidRDefault="00672C3C" w:rsidP="00672C3C">
      <w:pPr>
        <w:pStyle w:val="Default"/>
        <w:jc w:val="both"/>
        <w:rPr>
          <w:sz w:val="22"/>
          <w:szCs w:val="22"/>
        </w:rPr>
      </w:pPr>
      <w:r w:rsidRPr="00672C3C">
        <w:rPr>
          <w:sz w:val="22"/>
          <w:szCs w:val="22"/>
        </w:rPr>
        <w:t xml:space="preserve"> </w:t>
      </w:r>
    </w:p>
    <w:p w14:paraId="06806ABF" w14:textId="77777777" w:rsidR="00672C3C" w:rsidRPr="00672C3C" w:rsidRDefault="00672C3C" w:rsidP="00672C3C">
      <w:pPr>
        <w:pStyle w:val="Default"/>
        <w:jc w:val="both"/>
        <w:rPr>
          <w:sz w:val="22"/>
          <w:szCs w:val="22"/>
        </w:rPr>
      </w:pPr>
      <w:r w:rsidRPr="00672C3C">
        <w:rPr>
          <w:b/>
          <w:bCs/>
          <w:sz w:val="22"/>
          <w:szCs w:val="22"/>
        </w:rPr>
        <w:t xml:space="preserve">Odpowiedzialność </w:t>
      </w:r>
    </w:p>
    <w:p w14:paraId="63871623" w14:textId="5BEDAA2C" w:rsidR="00672C3C" w:rsidRDefault="00672C3C" w:rsidP="00672C3C">
      <w:pPr>
        <w:pStyle w:val="Default"/>
        <w:jc w:val="both"/>
        <w:rPr>
          <w:sz w:val="22"/>
          <w:szCs w:val="22"/>
        </w:rPr>
      </w:pPr>
      <w:r w:rsidRPr="00672C3C">
        <w:rPr>
          <w:sz w:val="22"/>
          <w:szCs w:val="22"/>
        </w:rPr>
        <w:t>Za stosowanie procedury odpowiadają wszyscy pracownicy uczestniczący w procesie kształcenia, studenci i doktoranci oraz słuchacze studiów podyplomowych. Właścicielami procedury są Dziekan i Prodziekan</w:t>
      </w:r>
      <w:r>
        <w:rPr>
          <w:sz w:val="22"/>
          <w:szCs w:val="22"/>
        </w:rPr>
        <w:t>.</w:t>
      </w:r>
    </w:p>
    <w:p w14:paraId="7C5E2B32" w14:textId="77777777" w:rsidR="00672C3C" w:rsidRDefault="00672C3C" w:rsidP="00672C3C">
      <w:pPr>
        <w:pStyle w:val="Default"/>
      </w:pPr>
    </w:p>
    <w:p w14:paraId="43AC223D" w14:textId="77777777" w:rsidR="00672C3C" w:rsidRDefault="00672C3C" w:rsidP="00672C3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Opis działania </w:t>
      </w:r>
    </w:p>
    <w:p w14:paraId="1A59324A" w14:textId="77777777" w:rsidR="00672C3C" w:rsidRDefault="00672C3C" w:rsidP="00672C3C">
      <w:pPr>
        <w:pStyle w:val="Default"/>
      </w:pPr>
    </w:p>
    <w:p w14:paraId="6AEB0344" w14:textId="66AFE59E" w:rsidR="00672C3C" w:rsidRDefault="00672C3C" w:rsidP="00672C3C">
      <w:pPr>
        <w:pStyle w:val="Default"/>
        <w:numPr>
          <w:ilvl w:val="0"/>
          <w:numId w:val="2"/>
        </w:numPr>
        <w:rPr>
          <w:b/>
          <w:sz w:val="22"/>
          <w:szCs w:val="22"/>
        </w:rPr>
      </w:pPr>
      <w:r w:rsidRPr="00672C3C">
        <w:rPr>
          <w:b/>
          <w:sz w:val="22"/>
          <w:szCs w:val="22"/>
        </w:rPr>
        <w:t xml:space="preserve">Proces dydaktyczny </w:t>
      </w:r>
    </w:p>
    <w:p w14:paraId="26354261" w14:textId="7CF8B923" w:rsidR="00672C3C" w:rsidRDefault="00672C3C" w:rsidP="00672C3C">
      <w:pPr>
        <w:pStyle w:val="Default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Zajęcia dydaktyczne są prowadzone zgodnie z programem i planem studiów na podstawie szczegółowych zasad określonych w sylabusach przedmiotów i stanowią podstawę do osiągnięcia założonych efektów uczenia się. </w:t>
      </w:r>
    </w:p>
    <w:p w14:paraId="2CAC9360" w14:textId="1DA5050F" w:rsidR="00672C3C" w:rsidRDefault="00672C3C" w:rsidP="00672C3C">
      <w:pPr>
        <w:pStyle w:val="Default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Wydział kieruje zlecenie realizacji zajęć dydaktycznych do Dyrektorów Instytutów, którzy rozdzielają zlecone zajęcia pomiędzy nauczycieli akademickich poszczególnych Kierowników katedr z uwzględnieniem spójności kształcenia z działalnością naukową nauczyciela akademickiego </w:t>
      </w:r>
    </w:p>
    <w:p w14:paraId="70BB21F9" w14:textId="3F66443F" w:rsidR="00672C3C" w:rsidRDefault="00672C3C" w:rsidP="005D2D74">
      <w:pPr>
        <w:pStyle w:val="Default"/>
        <w:numPr>
          <w:ilvl w:val="0"/>
          <w:numId w:val="2"/>
        </w:numPr>
        <w:rPr>
          <w:b/>
          <w:sz w:val="22"/>
          <w:szCs w:val="22"/>
        </w:rPr>
      </w:pPr>
      <w:r w:rsidRPr="00672C3C">
        <w:rPr>
          <w:b/>
        </w:rPr>
        <w:t>P</w:t>
      </w:r>
      <w:r w:rsidRPr="00672C3C">
        <w:rPr>
          <w:b/>
          <w:sz w:val="22"/>
          <w:szCs w:val="22"/>
        </w:rPr>
        <w:t xml:space="preserve">raktyki </w:t>
      </w:r>
    </w:p>
    <w:p w14:paraId="49BE07CA" w14:textId="6FA1314C" w:rsidR="00672C3C" w:rsidRDefault="00672C3C" w:rsidP="00672C3C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Praktyki są prowadzone zgodnie z programem i planem studiów oraz harmonogramem zajęć, według szczegółowych zasad określonych w sylabusach przedmiotów i stanowią podstawę do osiągnięcia założonych efektów uczenia się.  </w:t>
      </w:r>
    </w:p>
    <w:p w14:paraId="18AE1AD8" w14:textId="36856B66" w:rsidR="00672C3C" w:rsidRDefault="00672C3C" w:rsidP="00672C3C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Tryb realizacji oraz zaliczania praktyk jest określony w regulaminie praktyk</w:t>
      </w:r>
      <w:r w:rsidR="00AE5CE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17A1E2EC" w14:textId="2A42671A" w:rsidR="0041652C" w:rsidRPr="0041652C" w:rsidRDefault="0041652C" w:rsidP="0041652C">
      <w:pPr>
        <w:pStyle w:val="Default"/>
        <w:numPr>
          <w:ilvl w:val="1"/>
          <w:numId w:val="2"/>
        </w:numPr>
        <w:jc w:val="both"/>
        <w:rPr>
          <w:sz w:val="22"/>
          <w:szCs w:val="22"/>
        </w:rPr>
      </w:pPr>
      <w:r w:rsidRPr="0041652C">
        <w:rPr>
          <w:sz w:val="22"/>
          <w:szCs w:val="22"/>
        </w:rPr>
        <w:t>Praktyki studenckie koordynowane są przez Koordynatora ds. praktyk. Koordynator ds. praktyk dokonuje rocznego przeglądu odbytych praktyk w zakresie organizacji procesu oraz stopnia osiągania założonych efektów uczenia się i sporządza raport, który po zaopiniowaniu przez Koordynatora ds. jakości kształcenia oraz zatwierdzeniu przez Dziekana, jest przedstawiany Radzie Programowej zgodnie z Harmonogramem stosowania narzędzi</w:t>
      </w:r>
      <w:r>
        <w:rPr>
          <w:sz w:val="22"/>
          <w:szCs w:val="22"/>
        </w:rPr>
        <w:t>.</w:t>
      </w:r>
      <w:r w:rsidRPr="0041652C">
        <w:rPr>
          <w:sz w:val="22"/>
          <w:szCs w:val="22"/>
        </w:rPr>
        <w:t xml:space="preserve"> </w:t>
      </w:r>
    </w:p>
    <w:p w14:paraId="4D28346A" w14:textId="5457A5F8" w:rsidR="0041652C" w:rsidRDefault="0041652C" w:rsidP="0041652C">
      <w:pPr>
        <w:pStyle w:val="Default"/>
        <w:numPr>
          <w:ilvl w:val="0"/>
          <w:numId w:val="2"/>
        </w:numPr>
        <w:rPr>
          <w:b/>
          <w:sz w:val="22"/>
          <w:szCs w:val="22"/>
        </w:rPr>
      </w:pPr>
      <w:r w:rsidRPr="0041652C">
        <w:rPr>
          <w:b/>
          <w:sz w:val="22"/>
          <w:szCs w:val="22"/>
        </w:rPr>
        <w:t xml:space="preserve">Weryfikacja osiągania założonych efektów uczenia się </w:t>
      </w:r>
    </w:p>
    <w:p w14:paraId="6231D847" w14:textId="01591B37" w:rsidR="0041652C" w:rsidRDefault="0041652C" w:rsidP="0041652C">
      <w:pPr>
        <w:pStyle w:val="Default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 zakończeniu każdego semestru osoba odpowiedzialna za przedmiot dokonuje weryfikacji osiągania założonych efektów uczenia się zgodnie z Instrukcją nr 1 do Procedury Jakości Kształcenia na Wydziale Technologii Drewna.</w:t>
      </w:r>
    </w:p>
    <w:p w14:paraId="381E66C3" w14:textId="2736D113" w:rsidR="0041652C" w:rsidRPr="00A50D96" w:rsidRDefault="0041652C" w:rsidP="0041652C">
      <w:pPr>
        <w:pStyle w:val="Default"/>
        <w:numPr>
          <w:ilvl w:val="1"/>
          <w:numId w:val="2"/>
        </w:numPr>
        <w:jc w:val="both"/>
        <w:rPr>
          <w:b/>
          <w:sz w:val="22"/>
          <w:szCs w:val="22"/>
        </w:rPr>
      </w:pPr>
      <w:r>
        <w:rPr>
          <w:sz w:val="22"/>
          <w:szCs w:val="22"/>
        </w:rPr>
        <w:t>Prodziekan analizuje wyniki weryfikacji efektów uczenia się. Wyniki analiz po zaopiniowaniu przez koordynatora ds. jakości kształcenia, są zatwierdzane przez Dziekana i przedstawiane Radzie Programowej zgodnie z Harmonogramem stosowania narzędzi</w:t>
      </w:r>
      <w:r w:rsidR="00A50D96">
        <w:rPr>
          <w:sz w:val="22"/>
          <w:szCs w:val="22"/>
        </w:rPr>
        <w:t>.</w:t>
      </w:r>
    </w:p>
    <w:p w14:paraId="17FD4379" w14:textId="7DCE37EC" w:rsidR="00A50D96" w:rsidRPr="00A50D96" w:rsidRDefault="00A50D96" w:rsidP="00A50D96">
      <w:pPr>
        <w:pStyle w:val="Default"/>
        <w:numPr>
          <w:ilvl w:val="0"/>
          <w:numId w:val="2"/>
        </w:numPr>
        <w:rPr>
          <w:b/>
          <w:sz w:val="22"/>
          <w:szCs w:val="22"/>
        </w:rPr>
      </w:pPr>
      <w:r w:rsidRPr="00A50D96">
        <w:rPr>
          <w:b/>
          <w:sz w:val="22"/>
          <w:szCs w:val="22"/>
        </w:rPr>
        <w:t xml:space="preserve">Monitorowanie i doskonalenie </w:t>
      </w:r>
    </w:p>
    <w:p w14:paraId="7CFF9420" w14:textId="30196804" w:rsidR="00A50D96" w:rsidRPr="00A50D96" w:rsidRDefault="00A50D96" w:rsidP="0041652C">
      <w:pPr>
        <w:pStyle w:val="Default"/>
        <w:numPr>
          <w:ilvl w:val="1"/>
          <w:numId w:val="2"/>
        </w:num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Programy kształcenia, plany studiów i zakładane efekty uczenia się podlegają przeglądowi raz do roku. Przeglądu na poziomie studiów I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II stopnia dokonuje Dziekan, Prodziekan oraz Koordynator ds. Jakości Kształcenia, natomiast w odniesieniu do studiów podyplomowych kierownicy studiów podyplomowych. Raporty z przeglądu opracowują osoby prowadzące przegląd. Wnioski z oceny i propozycje zmian przedkładane są Radzie Programowej, która opiniuje proponowane zmiany.</w:t>
      </w:r>
    </w:p>
    <w:p w14:paraId="59B834C6" w14:textId="05487D47" w:rsidR="00A50D96" w:rsidRPr="00A50D96" w:rsidRDefault="00A50D96" w:rsidP="0041652C">
      <w:pPr>
        <w:pStyle w:val="Default"/>
        <w:numPr>
          <w:ilvl w:val="1"/>
          <w:numId w:val="2"/>
        </w:numPr>
        <w:jc w:val="both"/>
        <w:rPr>
          <w:b/>
          <w:sz w:val="22"/>
          <w:szCs w:val="22"/>
        </w:rPr>
      </w:pPr>
      <w:r>
        <w:rPr>
          <w:sz w:val="22"/>
          <w:szCs w:val="22"/>
        </w:rPr>
        <w:t>Zmiany w sylabusach przedmiotów/modułów są wprowadzane przez nauczycieli akademickich odpowiadających za przedmiot, w wyniku weryfikacji efektów uczenia się po zakończonym cyklu kształcenia. Zmiany można wprowadzać na podstawie m.in. wniosków z ankiet oceny zajęć dydaktycznych, opinii koordynatora przedmiotu/modułu, opinii pracodawców, a także wnioski z monitorowania losów zawodowych absolwentów. Zmiany wprowadza się nie później niż przed rozpoczęciem kolejnego cyklu kształcenia</w:t>
      </w:r>
    </w:p>
    <w:p w14:paraId="1EE00C2D" w14:textId="4CCB1D7B" w:rsidR="00A50D96" w:rsidRPr="00A50D96" w:rsidRDefault="00A50D96" w:rsidP="00A50D96">
      <w:pPr>
        <w:pStyle w:val="Default"/>
        <w:tabs>
          <w:tab w:val="left" w:pos="851"/>
        </w:tabs>
        <w:ind w:firstLine="360"/>
        <w:rPr>
          <w:b/>
          <w:sz w:val="22"/>
          <w:szCs w:val="22"/>
        </w:rPr>
      </w:pPr>
    </w:p>
    <w:p w14:paraId="6711684E" w14:textId="76E0AF06" w:rsidR="00A50D96" w:rsidRPr="0041652C" w:rsidRDefault="00A50D96" w:rsidP="00A50D96">
      <w:pPr>
        <w:pStyle w:val="Default"/>
        <w:ind w:left="720"/>
        <w:jc w:val="both"/>
        <w:rPr>
          <w:b/>
          <w:sz w:val="22"/>
          <w:szCs w:val="22"/>
        </w:rPr>
      </w:pPr>
    </w:p>
    <w:p w14:paraId="7E00A7C7" w14:textId="77777777" w:rsidR="0041652C" w:rsidRDefault="0041652C" w:rsidP="0041652C">
      <w:pPr>
        <w:pStyle w:val="Default"/>
        <w:rPr>
          <w:sz w:val="22"/>
          <w:szCs w:val="22"/>
        </w:rPr>
      </w:pPr>
    </w:p>
    <w:p w14:paraId="05E570F2" w14:textId="5208DB6B" w:rsidR="0041652C" w:rsidRDefault="0041652C" w:rsidP="0041652C">
      <w:pPr>
        <w:pStyle w:val="Default"/>
        <w:ind w:left="360"/>
        <w:jc w:val="both"/>
        <w:rPr>
          <w:sz w:val="22"/>
          <w:szCs w:val="22"/>
        </w:rPr>
      </w:pPr>
    </w:p>
    <w:p w14:paraId="350DB07D" w14:textId="2739EF4A" w:rsidR="00672C3C" w:rsidRDefault="00672C3C" w:rsidP="0041652C">
      <w:pPr>
        <w:pStyle w:val="Default"/>
        <w:ind w:left="360"/>
      </w:pPr>
    </w:p>
    <w:p w14:paraId="5154FEF3" w14:textId="7157A0BB" w:rsidR="00672C3C" w:rsidRPr="00672C3C" w:rsidRDefault="00672C3C" w:rsidP="00672C3C">
      <w:pPr>
        <w:pStyle w:val="Default"/>
        <w:ind w:left="720"/>
        <w:rPr>
          <w:b/>
          <w:sz w:val="22"/>
          <w:szCs w:val="22"/>
        </w:rPr>
      </w:pPr>
    </w:p>
    <w:p w14:paraId="37C789A8" w14:textId="77DB4B17" w:rsidR="00672C3C" w:rsidRDefault="00672C3C" w:rsidP="00672C3C">
      <w:pPr>
        <w:pStyle w:val="Default"/>
        <w:ind w:left="720"/>
        <w:jc w:val="both"/>
        <w:rPr>
          <w:sz w:val="22"/>
          <w:szCs w:val="22"/>
        </w:rPr>
      </w:pPr>
    </w:p>
    <w:p w14:paraId="0508DA69" w14:textId="6B32E3C2" w:rsidR="00672C3C" w:rsidRPr="00672C3C" w:rsidRDefault="00672C3C" w:rsidP="00672C3C">
      <w:pPr>
        <w:pStyle w:val="Default"/>
        <w:jc w:val="both"/>
        <w:rPr>
          <w:b/>
          <w:sz w:val="22"/>
          <w:szCs w:val="22"/>
        </w:rPr>
      </w:pPr>
    </w:p>
    <w:p w14:paraId="47A65325" w14:textId="77777777" w:rsidR="00672C3C" w:rsidRPr="00672C3C" w:rsidRDefault="00672C3C" w:rsidP="00672C3C">
      <w:pPr>
        <w:pStyle w:val="Default"/>
        <w:jc w:val="both"/>
        <w:rPr>
          <w:sz w:val="22"/>
          <w:szCs w:val="22"/>
        </w:rPr>
      </w:pPr>
    </w:p>
    <w:sectPr w:rsidR="00672C3C" w:rsidRPr="00672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8"/>
    <w:multiLevelType w:val="multilevel"/>
    <w:tmpl w:val="00000028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2C336D42"/>
    <w:multiLevelType w:val="multilevel"/>
    <w:tmpl w:val="E202F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" w15:restartNumberingAfterBreak="0">
    <w:nsid w:val="7FF958CB"/>
    <w:multiLevelType w:val="multilevel"/>
    <w:tmpl w:val="28E403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55"/>
    <w:rsid w:val="002939E8"/>
    <w:rsid w:val="00392711"/>
    <w:rsid w:val="003C64F4"/>
    <w:rsid w:val="0041652C"/>
    <w:rsid w:val="00465755"/>
    <w:rsid w:val="005D3042"/>
    <w:rsid w:val="00672C3C"/>
    <w:rsid w:val="00A50D96"/>
    <w:rsid w:val="00AE5CE6"/>
    <w:rsid w:val="00BB795C"/>
    <w:rsid w:val="00F2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BD5B"/>
  <w15:chartTrackingRefBased/>
  <w15:docId w15:val="{E390DBA8-D929-47BB-BDA8-7F0982AF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795C"/>
    <w:rPr>
      <w:rFonts w:ascii="Calibri" w:eastAsia="Times New Roman" w:hAnsi="Calibri" w:cs="Times New Roman"/>
      <w:lang w:eastAsia="pl-PL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BB795C"/>
    <w:pPr>
      <w:keepNext/>
      <w:numPr>
        <w:ilvl w:val="1"/>
        <w:numId w:val="1"/>
      </w:numPr>
      <w:suppressAutoHyphens/>
      <w:spacing w:before="283" w:after="113" w:line="240" w:lineRule="auto"/>
      <w:ind w:firstLine="170"/>
      <w:outlineLvl w:val="1"/>
    </w:pPr>
    <w:rPr>
      <w:rFonts w:ascii="Apolonia" w:hAnsi="Apolonia" w:cs="Apolonia"/>
      <w:b/>
      <w:caps/>
      <w:color w:val="000000"/>
      <w:kern w:val="2"/>
      <w:sz w:val="28"/>
      <w:szCs w:val="32"/>
      <w:lang w:eastAsia="zh-CN" w:bidi="hi-IN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BB795C"/>
    <w:pPr>
      <w:keepNext/>
      <w:numPr>
        <w:ilvl w:val="2"/>
        <w:numId w:val="1"/>
      </w:numPr>
      <w:suppressLineNumbers/>
      <w:suppressAutoHyphens/>
      <w:spacing w:before="140" w:after="120" w:line="240" w:lineRule="auto"/>
      <w:outlineLvl w:val="2"/>
    </w:pPr>
    <w:rPr>
      <w:rFonts w:ascii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BB795C"/>
    <w:pPr>
      <w:keepNext/>
      <w:numPr>
        <w:ilvl w:val="3"/>
        <w:numId w:val="1"/>
      </w:numPr>
      <w:suppressLineNumbers/>
      <w:suppressAutoHyphens/>
      <w:spacing w:before="120" w:after="120" w:line="240" w:lineRule="auto"/>
      <w:outlineLvl w:val="3"/>
    </w:pPr>
    <w:rPr>
      <w:rFonts w:ascii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BB795C"/>
    <w:pPr>
      <w:keepNext/>
      <w:numPr>
        <w:ilvl w:val="4"/>
        <w:numId w:val="1"/>
      </w:numPr>
      <w:suppressLineNumbers/>
      <w:suppressAutoHyphens/>
      <w:spacing w:before="120" w:after="60" w:line="240" w:lineRule="auto"/>
      <w:outlineLvl w:val="4"/>
    </w:pPr>
    <w:rPr>
      <w:rFonts w:ascii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BB795C"/>
    <w:pPr>
      <w:keepNext/>
      <w:numPr>
        <w:ilvl w:val="5"/>
        <w:numId w:val="1"/>
      </w:numPr>
      <w:suppressLineNumbers/>
      <w:suppressAutoHyphens/>
      <w:spacing w:before="60" w:after="60" w:line="240" w:lineRule="auto"/>
      <w:outlineLvl w:val="5"/>
    </w:pPr>
    <w:rPr>
      <w:rFonts w:ascii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BB795C"/>
    <w:pPr>
      <w:keepNext/>
      <w:numPr>
        <w:ilvl w:val="6"/>
        <w:numId w:val="1"/>
      </w:numPr>
      <w:suppressLineNumbers/>
      <w:suppressAutoHyphens/>
      <w:spacing w:before="60" w:after="60" w:line="240" w:lineRule="auto"/>
      <w:outlineLvl w:val="6"/>
    </w:pPr>
    <w:rPr>
      <w:rFonts w:ascii="Times New Roman" w:hAnsi="Times New Roman" w:cs="FreeSans"/>
      <w:b/>
      <w:bCs/>
      <w:color w:val="000000"/>
      <w:kern w:val="2"/>
      <w:lang w:eastAsia="zh-CN" w:bidi="hi-IN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BB795C"/>
    <w:pPr>
      <w:keepNext/>
      <w:numPr>
        <w:ilvl w:val="7"/>
        <w:numId w:val="1"/>
      </w:numPr>
      <w:suppressLineNumbers/>
      <w:suppressAutoHyphens/>
      <w:spacing w:before="60" w:after="60" w:line="240" w:lineRule="auto"/>
      <w:outlineLvl w:val="7"/>
    </w:pPr>
    <w:rPr>
      <w:rFonts w:ascii="Times New Roman" w:hAnsi="Times New Roman" w:cs="FreeSans"/>
      <w:b/>
      <w:bCs/>
      <w:i/>
      <w:iCs/>
      <w:color w:val="000000"/>
      <w:kern w:val="2"/>
      <w:lang w:eastAsia="zh-CN" w:bidi="hi-IN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BB795C"/>
    <w:pPr>
      <w:keepNext/>
      <w:numPr>
        <w:ilvl w:val="8"/>
        <w:numId w:val="1"/>
      </w:numPr>
      <w:suppressLineNumbers/>
      <w:suppressAutoHyphens/>
      <w:spacing w:before="60" w:after="60" w:line="240" w:lineRule="auto"/>
      <w:outlineLvl w:val="8"/>
    </w:pPr>
    <w:rPr>
      <w:rFonts w:ascii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B795C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795C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795C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795C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795C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795C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795C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795C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79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795C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BB79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7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Piotr Borysiuk</cp:lastModifiedBy>
  <cp:revision>2</cp:revision>
  <dcterms:created xsi:type="dcterms:W3CDTF">2021-07-07T19:09:00Z</dcterms:created>
  <dcterms:modified xsi:type="dcterms:W3CDTF">2021-07-07T19:09:00Z</dcterms:modified>
</cp:coreProperties>
</file>